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CE2" w:rsidRDefault="00A00CE2" w:rsidP="00A00CE2">
      <w:pPr>
        <w:spacing w:after="0" w:line="240" w:lineRule="auto"/>
        <w:jc w:val="right"/>
        <w:outlineLvl w:val="0"/>
        <w:rPr>
          <w:rFonts w:cs="Arial"/>
          <w:noProof/>
        </w:rPr>
      </w:pPr>
      <w:bookmarkStart w:id="0" w:name="_Toc343766205"/>
      <w:bookmarkStart w:id="1" w:name="_Toc422301626"/>
      <w:r>
        <w:rPr>
          <w:rFonts w:cs="Arial"/>
          <w:noProof/>
        </w:rPr>
        <w:t xml:space="preserve">Toruń, </w:t>
      </w:r>
      <w:r w:rsidR="00A140EF">
        <w:rPr>
          <w:rFonts w:cs="Arial"/>
          <w:noProof/>
        </w:rPr>
        <w:t>9 kwietnia</w:t>
      </w:r>
      <w:r>
        <w:rPr>
          <w:rFonts w:cs="Arial"/>
          <w:noProof/>
        </w:rPr>
        <w:t xml:space="preserve"> 2018 r.</w:t>
      </w:r>
    </w:p>
    <w:p w:rsidR="00B2482A" w:rsidRDefault="00B2482A" w:rsidP="00A00CE2">
      <w:pPr>
        <w:spacing w:after="0" w:line="240" w:lineRule="auto"/>
        <w:jc w:val="right"/>
        <w:outlineLvl w:val="0"/>
        <w:rPr>
          <w:rFonts w:cs="Arial"/>
          <w:noProof/>
        </w:rPr>
      </w:pPr>
    </w:p>
    <w:p w:rsidR="00B2482A" w:rsidRPr="0006340E" w:rsidRDefault="00B2482A" w:rsidP="00A00CE2">
      <w:pPr>
        <w:spacing w:after="0" w:line="240" w:lineRule="auto"/>
        <w:jc w:val="right"/>
        <w:outlineLvl w:val="0"/>
        <w:rPr>
          <w:rFonts w:cs="Arial"/>
          <w:noProof/>
          <w:sz w:val="18"/>
        </w:rPr>
      </w:pPr>
    </w:p>
    <w:p w:rsidR="00A00CE2" w:rsidRDefault="00A00CE2" w:rsidP="0006340E">
      <w:pPr>
        <w:spacing w:after="0" w:line="240" w:lineRule="auto"/>
        <w:outlineLvl w:val="0"/>
        <w:rPr>
          <w:rFonts w:cs="Arial"/>
          <w:b/>
          <w:noProof/>
        </w:rPr>
      </w:pPr>
    </w:p>
    <w:p w:rsidR="00A00CE2" w:rsidRDefault="00A00CE2" w:rsidP="00A00CE2">
      <w:pPr>
        <w:spacing w:after="0" w:line="240" w:lineRule="auto"/>
        <w:jc w:val="center"/>
        <w:outlineLvl w:val="0"/>
        <w:rPr>
          <w:rFonts w:cs="Arial"/>
          <w:b/>
          <w:noProof/>
          <w:sz w:val="24"/>
        </w:rPr>
      </w:pPr>
      <w:r w:rsidRPr="00B2482A">
        <w:rPr>
          <w:rFonts w:cs="Arial"/>
          <w:b/>
          <w:noProof/>
          <w:sz w:val="24"/>
        </w:rPr>
        <w:t>Sposób i metodologia mierzenia kryterium efektywności zatrudnieniowej</w:t>
      </w:r>
      <w:bookmarkEnd w:id="0"/>
      <w:r w:rsidRPr="00B2482A">
        <w:rPr>
          <w:rFonts w:cs="Arial"/>
          <w:b/>
          <w:noProof/>
          <w:sz w:val="24"/>
        </w:rPr>
        <w:t xml:space="preserve"> </w:t>
      </w:r>
      <w:r w:rsidRPr="00B2482A">
        <w:rPr>
          <w:rFonts w:cs="Arial"/>
          <w:b/>
          <w:noProof/>
          <w:sz w:val="24"/>
        </w:rPr>
        <w:br/>
        <w:t xml:space="preserve">w projektach realizowanych w ramach </w:t>
      </w:r>
    </w:p>
    <w:p w:rsidR="00B2482A" w:rsidRPr="0006340E" w:rsidRDefault="00B2482A" w:rsidP="00A00CE2">
      <w:pPr>
        <w:spacing w:after="0" w:line="240" w:lineRule="auto"/>
        <w:jc w:val="center"/>
        <w:outlineLvl w:val="0"/>
        <w:rPr>
          <w:rFonts w:cs="Arial"/>
          <w:b/>
          <w:noProof/>
          <w:sz w:val="16"/>
        </w:rPr>
      </w:pPr>
    </w:p>
    <w:p w:rsidR="00A00CE2" w:rsidRPr="00B2482A" w:rsidRDefault="00A00CE2" w:rsidP="00A00CE2">
      <w:pPr>
        <w:spacing w:after="0" w:line="240" w:lineRule="auto"/>
        <w:jc w:val="center"/>
        <w:outlineLvl w:val="0"/>
        <w:rPr>
          <w:rFonts w:cs="Arial"/>
          <w:b/>
          <w:i/>
          <w:noProof/>
          <w:sz w:val="32"/>
        </w:rPr>
      </w:pPr>
      <w:r w:rsidRPr="00B2482A">
        <w:rPr>
          <w:rFonts w:cs="Arial"/>
          <w:b/>
          <w:noProof/>
          <w:sz w:val="32"/>
        </w:rPr>
        <w:t>Osi Priorytetowej VIII</w:t>
      </w:r>
      <w:r w:rsidRPr="00B2482A">
        <w:rPr>
          <w:rFonts w:cs="Arial"/>
          <w:b/>
          <w:i/>
          <w:noProof/>
          <w:sz w:val="32"/>
        </w:rPr>
        <w:t xml:space="preserve"> Aktywni na rynku pracy</w:t>
      </w:r>
    </w:p>
    <w:p w:rsidR="00B2482A" w:rsidRPr="0006340E" w:rsidRDefault="00B2482A" w:rsidP="00A00CE2">
      <w:pPr>
        <w:spacing w:after="0" w:line="240" w:lineRule="auto"/>
        <w:jc w:val="center"/>
        <w:outlineLvl w:val="0"/>
        <w:rPr>
          <w:rFonts w:cs="Arial"/>
          <w:b/>
          <w:i/>
          <w:noProof/>
          <w:sz w:val="16"/>
        </w:rPr>
      </w:pPr>
    </w:p>
    <w:p w:rsidR="00A00CE2" w:rsidRPr="000B534D" w:rsidRDefault="00A00CE2" w:rsidP="00A00CE2">
      <w:pPr>
        <w:spacing w:after="0" w:line="240" w:lineRule="auto"/>
        <w:jc w:val="center"/>
        <w:outlineLvl w:val="0"/>
        <w:rPr>
          <w:rFonts w:cs="Arial"/>
          <w:b/>
          <w:noProof/>
        </w:rPr>
      </w:pPr>
    </w:p>
    <w:p w:rsidR="00A00CE2" w:rsidRDefault="00A00CE2" w:rsidP="00E41632">
      <w:pPr>
        <w:spacing w:after="0" w:line="360" w:lineRule="auto"/>
        <w:jc w:val="both"/>
        <w:outlineLvl w:val="0"/>
        <w:rPr>
          <w:rFonts w:cs="Arial"/>
          <w:noProof/>
        </w:rPr>
      </w:pPr>
      <w:r w:rsidRPr="000B534D">
        <w:rPr>
          <w:rFonts w:cs="Arial"/>
          <w:noProof/>
        </w:rPr>
        <w:t xml:space="preserve">Zgodnie z </w:t>
      </w:r>
      <w:r w:rsidRPr="000B534D">
        <w:rPr>
          <w:rFonts w:cs="Arial"/>
          <w:i/>
          <w:noProof/>
        </w:rPr>
        <w:t>Wytycznymi w zakr</w:t>
      </w:r>
      <w:r>
        <w:rPr>
          <w:rFonts w:cs="Arial"/>
          <w:i/>
          <w:noProof/>
        </w:rPr>
        <w:t xml:space="preserve">esie realizacji przedsięwzięć z udziałem środków Europejskiego Funduszu Społecznego w obszarze rynku pracy na lata 2014-2020 </w:t>
      </w:r>
      <w:r>
        <w:t>MR/2014-2020/23(03) obowiązujących od</w:t>
      </w:r>
      <w:r w:rsidR="0006340E">
        <w:t> </w:t>
      </w:r>
      <w:r>
        <w:t xml:space="preserve">01.01.2018 r. </w:t>
      </w:r>
      <w:r w:rsidRPr="006F440D">
        <w:rPr>
          <w:rFonts w:cs="Arial"/>
          <w:noProof/>
        </w:rPr>
        <w:t xml:space="preserve">(dalej: </w:t>
      </w:r>
      <w:r w:rsidRPr="006F440D">
        <w:rPr>
          <w:rFonts w:cs="Arial"/>
          <w:i/>
          <w:noProof/>
        </w:rPr>
        <w:t>Wytyczne</w:t>
      </w:r>
      <w:r w:rsidRPr="006F440D">
        <w:rPr>
          <w:rFonts w:cs="Arial"/>
          <w:noProof/>
        </w:rPr>
        <w:t>)</w:t>
      </w:r>
      <w:r>
        <w:rPr>
          <w:rFonts w:cs="Arial"/>
          <w:i/>
          <w:noProof/>
        </w:rPr>
        <w:t xml:space="preserve"> </w:t>
      </w:r>
      <w:r w:rsidRPr="000B534D">
        <w:rPr>
          <w:rFonts w:cs="Arial"/>
          <w:noProof/>
        </w:rPr>
        <w:t>obowiązkiem IZ RPO w odniesieniu do wszystkich projek</w:t>
      </w:r>
      <w:r>
        <w:rPr>
          <w:rFonts w:cs="Arial"/>
          <w:noProof/>
        </w:rPr>
        <w:t xml:space="preserve">tów przewidujących </w:t>
      </w:r>
      <w:r w:rsidRPr="000B534D">
        <w:rPr>
          <w:rFonts w:cs="Arial"/>
          <w:noProof/>
        </w:rPr>
        <w:t xml:space="preserve">wsparcie </w:t>
      </w:r>
      <w:r w:rsidR="0006340E" w:rsidRPr="000B534D">
        <w:rPr>
          <w:rFonts w:cs="Arial"/>
          <w:noProof/>
        </w:rPr>
        <w:t xml:space="preserve">dla osób </w:t>
      </w:r>
      <w:r w:rsidR="0006340E">
        <w:rPr>
          <w:rFonts w:cs="Arial"/>
          <w:noProof/>
        </w:rPr>
        <w:t xml:space="preserve">bezrobotnych lub biernych zawodowo </w:t>
      </w:r>
      <w:r>
        <w:rPr>
          <w:rFonts w:cs="Arial"/>
          <w:noProof/>
        </w:rPr>
        <w:t xml:space="preserve">w zakresie aktywizacji zawodowej </w:t>
      </w:r>
      <w:r w:rsidRPr="000B534D">
        <w:rPr>
          <w:rFonts w:cs="Arial"/>
          <w:noProof/>
        </w:rPr>
        <w:t>jest stosowanie kryteriów wyboru projektów dot</w:t>
      </w:r>
      <w:r>
        <w:rPr>
          <w:rFonts w:cs="Arial"/>
          <w:noProof/>
        </w:rPr>
        <w:t xml:space="preserve">yczących efektywności </w:t>
      </w:r>
      <w:r w:rsidRPr="000B534D">
        <w:rPr>
          <w:rFonts w:cs="Arial"/>
          <w:noProof/>
        </w:rPr>
        <w:t>zatrudnieniowej, zobowi</w:t>
      </w:r>
      <w:r w:rsidR="00E41632">
        <w:rPr>
          <w:rFonts w:cs="Arial"/>
          <w:noProof/>
        </w:rPr>
        <w:t>ązanie beneficjentów w umowie o </w:t>
      </w:r>
      <w:r w:rsidRPr="000B534D">
        <w:rPr>
          <w:rFonts w:cs="Arial"/>
          <w:noProof/>
        </w:rPr>
        <w:t xml:space="preserve">dofinansowanie projektu do przedstawienia informacji niezbędnych do weryfikacji tych kryteriów oraz weryfikowanie spełnienia tych kryteriów przez beneficjentów realizujących projekty. </w:t>
      </w:r>
    </w:p>
    <w:p w:rsidR="0006340E" w:rsidRDefault="0006340E" w:rsidP="00A00CE2">
      <w:pPr>
        <w:spacing w:after="0" w:line="360" w:lineRule="auto"/>
        <w:jc w:val="both"/>
        <w:outlineLvl w:val="0"/>
        <w:rPr>
          <w:rFonts w:cs="Arial"/>
          <w:noProof/>
        </w:rPr>
      </w:pPr>
    </w:p>
    <w:p w:rsidR="0006340E" w:rsidRDefault="00A00CE2" w:rsidP="0006340E">
      <w:pPr>
        <w:shd w:val="clear" w:color="auto" w:fill="D9D9D9" w:themeFill="background1" w:themeFillShade="D9"/>
        <w:spacing w:after="0" w:line="360" w:lineRule="auto"/>
        <w:jc w:val="both"/>
        <w:outlineLvl w:val="0"/>
        <w:rPr>
          <w:rFonts w:cs="Arial"/>
          <w:noProof/>
        </w:rPr>
      </w:pPr>
      <w:r w:rsidRPr="000B534D">
        <w:rPr>
          <w:rFonts w:cs="Arial"/>
          <w:noProof/>
        </w:rPr>
        <w:t>W związku z powyższym I</w:t>
      </w:r>
      <w:r>
        <w:rPr>
          <w:rFonts w:cs="Arial"/>
          <w:noProof/>
        </w:rPr>
        <w:t>Z RPO WK-P wpr</w:t>
      </w:r>
      <w:r w:rsidR="00287CC3">
        <w:rPr>
          <w:rFonts w:cs="Arial"/>
          <w:noProof/>
        </w:rPr>
        <w:t>owadza do konkursu nr RPKP.08.02.01-IP.01</w:t>
      </w:r>
      <w:r>
        <w:rPr>
          <w:rFonts w:cs="Arial"/>
          <w:noProof/>
        </w:rPr>
        <w:t>-04-</w:t>
      </w:r>
      <w:r w:rsidR="00FF08A4">
        <w:rPr>
          <w:rFonts w:cs="Arial"/>
          <w:noProof/>
        </w:rPr>
        <w:t>005</w:t>
      </w:r>
      <w:r w:rsidR="00E41632">
        <w:rPr>
          <w:rFonts w:cs="Arial"/>
          <w:noProof/>
        </w:rPr>
        <w:t>/18</w:t>
      </w:r>
      <w:r>
        <w:rPr>
          <w:rFonts w:cs="Arial"/>
          <w:noProof/>
        </w:rPr>
        <w:t xml:space="preserve"> </w:t>
      </w:r>
      <w:r w:rsidRPr="000B534D">
        <w:rPr>
          <w:rFonts w:cs="Arial"/>
          <w:noProof/>
        </w:rPr>
        <w:t>kry</w:t>
      </w:r>
      <w:r>
        <w:rPr>
          <w:rFonts w:cs="Arial"/>
          <w:noProof/>
        </w:rPr>
        <w:t xml:space="preserve">terium efektywności </w:t>
      </w:r>
      <w:r w:rsidRPr="000B534D">
        <w:rPr>
          <w:rFonts w:cs="Arial"/>
          <w:noProof/>
        </w:rPr>
        <w:t>zatrudnieniowej, zgodnie, z którym</w:t>
      </w:r>
      <w:r w:rsidR="00E41632">
        <w:rPr>
          <w:rFonts w:cs="Arial"/>
          <w:noProof/>
        </w:rPr>
        <w:t>:</w:t>
      </w:r>
    </w:p>
    <w:p w:rsidR="00287CC3" w:rsidRPr="00287CC3" w:rsidRDefault="00287CC3" w:rsidP="0006340E">
      <w:pPr>
        <w:shd w:val="clear" w:color="auto" w:fill="D9D9D9" w:themeFill="background1" w:themeFillShade="D9"/>
        <w:spacing w:after="0" w:line="360" w:lineRule="auto"/>
        <w:jc w:val="both"/>
        <w:outlineLvl w:val="0"/>
        <w:rPr>
          <w:rFonts w:cs="Arial"/>
          <w:i/>
          <w:noProof/>
        </w:rPr>
      </w:pPr>
      <w:r w:rsidRPr="00287CC3">
        <w:rPr>
          <w:rFonts w:cs="Arial"/>
          <w:i/>
          <w:noProof/>
        </w:rPr>
        <w:t xml:space="preserve">Projekt zakłada wskaźniki efektywności zatrudnieniowej zgodne z drugim sposobem </w:t>
      </w:r>
      <w:r>
        <w:rPr>
          <w:rFonts w:cs="Arial"/>
          <w:i/>
          <w:noProof/>
        </w:rPr>
        <w:t>wskazanym w </w:t>
      </w:r>
      <w:r w:rsidRPr="00287CC3">
        <w:rPr>
          <w:rFonts w:cs="Arial"/>
          <w:i/>
          <w:noProof/>
        </w:rPr>
        <w:t>Komunikacie w sprawie wyznaczenia minimalnych poziomów kryterium efektywności zatrudnieniowej dla Regionalnych Programów Operacyjnych uwzględniającym zatrudnienie na pod</w:t>
      </w:r>
      <w:r w:rsidR="00F42CC5">
        <w:rPr>
          <w:rFonts w:cs="Arial"/>
          <w:i/>
          <w:noProof/>
        </w:rPr>
        <w:t>stawie stosunku pracy oraz samo</w:t>
      </w:r>
      <w:r w:rsidRPr="00287CC3">
        <w:rPr>
          <w:rFonts w:cs="Arial"/>
          <w:i/>
          <w:noProof/>
        </w:rPr>
        <w:t>zatrudnienie:</w:t>
      </w:r>
    </w:p>
    <w:p w:rsidR="004F50BB" w:rsidRDefault="00287CC3" w:rsidP="00287CC3">
      <w:pPr>
        <w:pStyle w:val="Akapitzlist"/>
        <w:numPr>
          <w:ilvl w:val="0"/>
          <w:numId w:val="19"/>
        </w:numPr>
        <w:shd w:val="clear" w:color="auto" w:fill="D9D9D9" w:themeFill="background1" w:themeFillShade="D9"/>
        <w:spacing w:after="0" w:line="360" w:lineRule="auto"/>
        <w:jc w:val="both"/>
        <w:outlineLvl w:val="0"/>
        <w:rPr>
          <w:rFonts w:cs="Arial"/>
          <w:i/>
          <w:noProof/>
        </w:rPr>
      </w:pPr>
      <w:r w:rsidRPr="004F50BB">
        <w:rPr>
          <w:rFonts w:cs="Arial"/>
          <w:i/>
          <w:noProof/>
        </w:rPr>
        <w:t>minimalny poziom kryterium efektywności zatrudnieniowej dla osó</w:t>
      </w:r>
      <w:r w:rsidR="004F50BB">
        <w:rPr>
          <w:rFonts w:cs="Arial"/>
          <w:i/>
          <w:noProof/>
        </w:rPr>
        <w:t>b w najtrudniejszej sytuacji, w </w:t>
      </w:r>
      <w:r w:rsidRPr="004F50BB">
        <w:rPr>
          <w:rFonts w:cs="Arial"/>
          <w:i/>
          <w:noProof/>
        </w:rPr>
        <w:t>tym imigranci, reemigranci, osoby w wieku 50</w:t>
      </w:r>
      <w:r w:rsidR="004F50BB">
        <w:rPr>
          <w:rFonts w:cs="Arial"/>
          <w:i/>
          <w:noProof/>
        </w:rPr>
        <w:t xml:space="preserve"> lat i więcej, kobiety, osoby z </w:t>
      </w:r>
      <w:r w:rsidRPr="004F50BB">
        <w:rPr>
          <w:rFonts w:cs="Arial"/>
          <w:i/>
          <w:noProof/>
        </w:rPr>
        <w:t>niepełnosprawnościami, osoby długotrwale bezrobotne, osoby z niskimi kwalifikacjami do poziomu ISCED 3 – 42%;</w:t>
      </w:r>
    </w:p>
    <w:p w:rsidR="0006340E" w:rsidRPr="004F50BB" w:rsidRDefault="00287CC3" w:rsidP="0006340E">
      <w:pPr>
        <w:pStyle w:val="Akapitzlist"/>
        <w:numPr>
          <w:ilvl w:val="0"/>
          <w:numId w:val="19"/>
        </w:numPr>
        <w:shd w:val="clear" w:color="auto" w:fill="D9D9D9" w:themeFill="background1" w:themeFillShade="D9"/>
        <w:spacing w:after="0" w:line="360" w:lineRule="auto"/>
        <w:jc w:val="both"/>
        <w:outlineLvl w:val="0"/>
        <w:rPr>
          <w:rFonts w:cs="Arial"/>
          <w:i/>
          <w:noProof/>
        </w:rPr>
      </w:pPr>
      <w:r w:rsidRPr="004F50BB">
        <w:rPr>
          <w:rFonts w:cs="Arial"/>
          <w:i/>
          <w:noProof/>
        </w:rPr>
        <w:t>minimalny poziom kryterium efektywności zatrudnieniowej dla pozostałych osób nienależących do ww. grup – 52%.</w:t>
      </w:r>
    </w:p>
    <w:p w:rsidR="00E41632" w:rsidRPr="00703AD2" w:rsidRDefault="00E41632" w:rsidP="00A00CE2">
      <w:pPr>
        <w:spacing w:after="0" w:line="360" w:lineRule="auto"/>
        <w:jc w:val="both"/>
        <w:outlineLvl w:val="0"/>
        <w:rPr>
          <w:rFonts w:cs="Arial"/>
          <w:noProof/>
        </w:rPr>
      </w:pPr>
    </w:p>
    <w:bookmarkEnd w:id="1"/>
    <w:p w:rsidR="00017D41" w:rsidRDefault="00017D41" w:rsidP="00017D41">
      <w:pPr>
        <w:pStyle w:val="Akapitzlist"/>
        <w:spacing w:after="0" w:line="360" w:lineRule="auto"/>
        <w:ind w:left="360"/>
        <w:jc w:val="both"/>
        <w:outlineLvl w:val="0"/>
        <w:rPr>
          <w:rFonts w:cs="Arial"/>
          <w:noProof/>
        </w:rPr>
      </w:pPr>
    </w:p>
    <w:p w:rsidR="00A00CE2" w:rsidRPr="00017D41" w:rsidRDefault="0075701A" w:rsidP="00017D41">
      <w:pPr>
        <w:pStyle w:val="Akapitzlist"/>
        <w:numPr>
          <w:ilvl w:val="0"/>
          <w:numId w:val="1"/>
        </w:numPr>
        <w:spacing w:after="0" w:line="360" w:lineRule="auto"/>
        <w:jc w:val="both"/>
        <w:outlineLvl w:val="0"/>
        <w:rPr>
          <w:rFonts w:cs="Arial"/>
          <w:noProof/>
        </w:rPr>
      </w:pPr>
      <w:r w:rsidRPr="00017D41">
        <w:rPr>
          <w:rFonts w:cs="Arial"/>
          <w:noProof/>
        </w:rPr>
        <w:t>I</w:t>
      </w:r>
      <w:proofErr w:type="spellStart"/>
      <w:r>
        <w:t>nstytucja</w:t>
      </w:r>
      <w:proofErr w:type="spellEnd"/>
      <w:r>
        <w:t xml:space="preserve"> będąca stroną umowy o dofinansowanie projektu dokonuje pomiaru kryterium efektywności zatrudnieniowej oraz zobowiązuje w niej beneficjentów do przedstawienia informacji niezbędnych do weryfikacji tego kryterium zgodnie z poniższymi warunkami:</w:t>
      </w:r>
    </w:p>
    <w:p w:rsidR="008954C2" w:rsidRPr="008954C2" w:rsidRDefault="008954C2" w:rsidP="008954C2">
      <w:pPr>
        <w:pStyle w:val="Akapitzlist"/>
        <w:spacing w:before="120" w:after="0" w:line="360" w:lineRule="auto"/>
        <w:ind w:left="360"/>
        <w:jc w:val="both"/>
        <w:rPr>
          <w:sz w:val="14"/>
        </w:rPr>
      </w:pPr>
    </w:p>
    <w:p w:rsidR="0075701A" w:rsidRPr="00B71C94" w:rsidRDefault="0075701A" w:rsidP="0075701A">
      <w:pPr>
        <w:pStyle w:val="Akapitzlist"/>
        <w:numPr>
          <w:ilvl w:val="0"/>
          <w:numId w:val="9"/>
        </w:numPr>
        <w:spacing w:before="120" w:after="0" w:line="360" w:lineRule="auto"/>
        <w:jc w:val="both"/>
        <w:rPr>
          <w:rFonts w:cs="Arial"/>
          <w:noProof/>
        </w:rPr>
      </w:pPr>
      <w:r>
        <w:t>efektywność zatrudnieniowa jest mierzona wyłącznie wśród tych uczestników projektu, którzy w momencie rozpoczęcia udziału w projekcie byli osobami bezrobotnymi lub osobami biernymi zawodowo, z wyłączeniem osób, które w ramach projektu lub w okresie 3 miesięcy od zakończenia udziału w projekcie podjęły naukę w formach szkolnych lub otrzymały zwrotne lub bezzwrotne środki na podjęcie działalności gospodarczej z EFS (zarów</w:t>
      </w:r>
      <w:r w:rsidR="008E4990">
        <w:t>no w </w:t>
      </w:r>
      <w:r>
        <w:t>danym projekcie realizowanym przez beneficjenta, jak i w innych projektach EFS);</w:t>
      </w:r>
    </w:p>
    <w:p w:rsidR="00B71C94" w:rsidRPr="0075701A" w:rsidRDefault="00B71C94" w:rsidP="00B71C94">
      <w:pPr>
        <w:pStyle w:val="Akapitzlist"/>
        <w:spacing w:before="120" w:after="0" w:line="360" w:lineRule="auto"/>
        <w:jc w:val="both"/>
        <w:rPr>
          <w:rFonts w:cs="Arial"/>
          <w:noProof/>
        </w:rPr>
      </w:pPr>
    </w:p>
    <w:p w:rsidR="0075701A" w:rsidRPr="0075701A" w:rsidRDefault="0075701A" w:rsidP="0075701A">
      <w:pPr>
        <w:pStyle w:val="Akapitzlist"/>
        <w:numPr>
          <w:ilvl w:val="0"/>
          <w:numId w:val="9"/>
        </w:numPr>
        <w:spacing w:before="120" w:after="0" w:line="360" w:lineRule="auto"/>
        <w:jc w:val="both"/>
        <w:rPr>
          <w:rFonts w:cs="Arial"/>
          <w:noProof/>
        </w:rPr>
      </w:pPr>
      <w:r>
        <w:t xml:space="preserve">efektywność zatrudnieniowa jest mierzona wśród uczestników projektu, którzy: </w:t>
      </w:r>
    </w:p>
    <w:p w:rsidR="0075701A" w:rsidRDefault="0075701A" w:rsidP="0075701A">
      <w:pPr>
        <w:pStyle w:val="Akapitzlist"/>
        <w:numPr>
          <w:ilvl w:val="0"/>
          <w:numId w:val="10"/>
        </w:numPr>
        <w:spacing w:before="120" w:after="0" w:line="360" w:lineRule="auto"/>
        <w:jc w:val="both"/>
      </w:pPr>
      <w:r>
        <w:t>zakończyli udział w projekcie; zakończenie udziału w projekcie to zakończenie uczestnictwa we wszystkich formach wsparcia przewidzianych dla danego uczestnika w ramach projektu EFS lub</w:t>
      </w:r>
    </w:p>
    <w:p w:rsidR="0075701A" w:rsidRPr="0075701A" w:rsidRDefault="0075701A" w:rsidP="0075701A">
      <w:pPr>
        <w:pStyle w:val="Akapitzlist"/>
        <w:numPr>
          <w:ilvl w:val="0"/>
          <w:numId w:val="10"/>
        </w:numPr>
        <w:spacing w:before="120" w:after="0" w:line="360" w:lineRule="auto"/>
        <w:jc w:val="both"/>
        <w:rPr>
          <w:rFonts w:cs="Arial"/>
          <w:noProof/>
        </w:rPr>
      </w:pPr>
      <w:r>
        <w:t xml:space="preserve">przerwali udział w projekcie wcześniej, niż uprzednio było to planowane z powodu podjęcia pracy spełniającej warunki opisane w lit. h – i lub </w:t>
      </w:r>
    </w:p>
    <w:p w:rsidR="0075701A" w:rsidRPr="0075701A" w:rsidRDefault="0075701A" w:rsidP="0075701A">
      <w:pPr>
        <w:pStyle w:val="Akapitzlist"/>
        <w:numPr>
          <w:ilvl w:val="0"/>
          <w:numId w:val="10"/>
        </w:numPr>
        <w:spacing w:before="120" w:after="0" w:line="360" w:lineRule="auto"/>
        <w:jc w:val="both"/>
        <w:rPr>
          <w:rFonts w:cs="Arial"/>
          <w:noProof/>
        </w:rPr>
      </w:pPr>
      <w:r>
        <w:t>podjęli pracę, jednak jednocześnie kontynuowali udział w projekcie</w:t>
      </w:r>
      <w:r>
        <w:rPr>
          <w:rStyle w:val="Odwoanieprzypisudolnego"/>
        </w:rPr>
        <w:footnoteReference w:id="1"/>
      </w:r>
      <w:r>
        <w:t>;</w:t>
      </w:r>
    </w:p>
    <w:p w:rsidR="0075701A" w:rsidRPr="000B534D" w:rsidRDefault="0075701A" w:rsidP="00A00CE2">
      <w:pPr>
        <w:spacing w:after="0" w:line="360" w:lineRule="auto"/>
        <w:jc w:val="both"/>
        <w:rPr>
          <w:rFonts w:cs="Arial"/>
          <w:noProof/>
        </w:rPr>
      </w:pPr>
    </w:p>
    <w:p w:rsidR="00A00CE2" w:rsidRPr="004E730D" w:rsidRDefault="004E730D" w:rsidP="004E730D">
      <w:pPr>
        <w:pStyle w:val="Akapitzlist"/>
        <w:numPr>
          <w:ilvl w:val="0"/>
          <w:numId w:val="9"/>
        </w:numPr>
        <w:spacing w:after="0" w:line="360" w:lineRule="auto"/>
        <w:jc w:val="both"/>
        <w:rPr>
          <w:rFonts w:cs="Arial"/>
          <w:noProof/>
        </w:rPr>
      </w:pPr>
      <w:r>
        <w:t>zatrudnienie to podjęcie pracy w oparciu o:</w:t>
      </w:r>
    </w:p>
    <w:p w:rsidR="004E730D" w:rsidRPr="004E730D" w:rsidRDefault="004E730D" w:rsidP="004E730D">
      <w:pPr>
        <w:pStyle w:val="Akapitzlist"/>
        <w:numPr>
          <w:ilvl w:val="0"/>
          <w:numId w:val="11"/>
        </w:numPr>
        <w:spacing w:after="0" w:line="360" w:lineRule="auto"/>
        <w:jc w:val="both"/>
        <w:rPr>
          <w:rFonts w:cs="Arial"/>
          <w:noProof/>
        </w:rPr>
      </w:pPr>
      <w:bookmarkStart w:id="2" w:name="_GoBack"/>
      <w:bookmarkEnd w:id="2"/>
      <w:r>
        <w:t xml:space="preserve">stosunek pracy (regulowany w szczególności ustawą z dnia 26 czerwca 1974 r. - Kodeks pracy) lub </w:t>
      </w:r>
    </w:p>
    <w:p w:rsidR="00A00CE2" w:rsidRPr="00D245C3" w:rsidRDefault="004E730D" w:rsidP="004E730D">
      <w:pPr>
        <w:pStyle w:val="Akapitzlist"/>
        <w:numPr>
          <w:ilvl w:val="0"/>
          <w:numId w:val="11"/>
        </w:numPr>
        <w:spacing w:after="0" w:line="360" w:lineRule="auto"/>
        <w:jc w:val="both"/>
        <w:rPr>
          <w:rFonts w:cs="Arial"/>
          <w:noProof/>
        </w:rPr>
      </w:pPr>
      <w:r>
        <w:t>podjęcie działalności gospodarczej (regulowane w szczególności ustawą z dnia 2 lipca 2004 r. o swobodzie działalności gospodarczej);</w:t>
      </w:r>
    </w:p>
    <w:p w:rsidR="00D245C3" w:rsidRDefault="00D245C3" w:rsidP="00D245C3">
      <w:pPr>
        <w:spacing w:after="0" w:line="360" w:lineRule="auto"/>
        <w:ind w:left="360"/>
        <w:jc w:val="both"/>
        <w:rPr>
          <w:rFonts w:cs="Arial"/>
          <w:noProof/>
        </w:rPr>
      </w:pPr>
    </w:p>
    <w:p w:rsidR="00D245C3" w:rsidRPr="00AC6933" w:rsidRDefault="00D245C3" w:rsidP="00D245C3">
      <w:pPr>
        <w:pStyle w:val="Akapitzlist"/>
        <w:numPr>
          <w:ilvl w:val="0"/>
          <w:numId w:val="9"/>
        </w:numPr>
        <w:spacing w:after="0" w:line="360" w:lineRule="auto"/>
        <w:jc w:val="both"/>
        <w:rPr>
          <w:rFonts w:cs="Arial"/>
          <w:noProof/>
        </w:rPr>
      </w:pPr>
      <w:r>
        <w:lastRenderedPageBreak/>
        <w:t>efektywność zatrudnieniowa mierzona jest jako iloraz liczby osób, które podjęły zatrudnienie zgodnie z lit. c w stosunku do liczby osób wskazanych w lit. b;</w:t>
      </w:r>
    </w:p>
    <w:p w:rsidR="00AC6933" w:rsidRPr="00D245C3" w:rsidRDefault="00AC6933" w:rsidP="00AC6933">
      <w:pPr>
        <w:pStyle w:val="Akapitzlist"/>
        <w:spacing w:after="0" w:line="360" w:lineRule="auto"/>
        <w:jc w:val="both"/>
        <w:rPr>
          <w:rFonts w:cs="Arial"/>
          <w:noProof/>
        </w:rPr>
      </w:pPr>
    </w:p>
    <w:p w:rsidR="00D245C3" w:rsidRPr="00D245C3" w:rsidRDefault="00D245C3" w:rsidP="00D245C3">
      <w:pPr>
        <w:pStyle w:val="Akapitzlist"/>
        <w:numPr>
          <w:ilvl w:val="0"/>
          <w:numId w:val="9"/>
        </w:numPr>
        <w:spacing w:after="0" w:line="360" w:lineRule="auto"/>
        <w:jc w:val="both"/>
        <w:rPr>
          <w:rFonts w:cs="Arial"/>
          <w:noProof/>
        </w:rPr>
      </w:pPr>
      <w:r>
        <w:t>podczas pomiaru spełnienia kryterium efektywności zatrudnieniowej uczestników projektu należy wykazywać w liczniku wskaźnika efektywności zatrudnieniowej w momencie podjęcia pracy, ale nie później niż po upływie trzech miesięcy od zakończenia udziału w pro</w:t>
      </w:r>
      <w:r w:rsidR="008E4990">
        <w:t>jekcie. W </w:t>
      </w:r>
      <w:r>
        <w:t>mianowniku wskaźnika efektywności zatrudnie</w:t>
      </w:r>
      <w:r w:rsidR="008E4990">
        <w:t>niowej należy wykazywać osoby w </w:t>
      </w:r>
      <w:r>
        <w:t xml:space="preserve">momencie zakończenia ich udziału w projekcie lub w sytuacji, o której mowa w lit. b </w:t>
      </w:r>
      <w:proofErr w:type="spellStart"/>
      <w:r>
        <w:t>ppkt</w:t>
      </w:r>
      <w:proofErr w:type="spellEnd"/>
      <w:r>
        <w:t xml:space="preserve"> ii oraz lit. b </w:t>
      </w:r>
      <w:proofErr w:type="spellStart"/>
      <w:r>
        <w:t>ppkt</w:t>
      </w:r>
      <w:proofErr w:type="spellEnd"/>
      <w:r>
        <w:t xml:space="preserve"> iii. Działalność gospodarcza powinna zostać rozpoczęta w okresie do trzech miesięcy od zakończenia przez uczestnika udziału w projekcie. Uczestnik projektu jest wykazywany w liczniku wskaźnika efektywności zatrudnieniowej w momencie wykazania rozpoczęcia prowadzenia działalności gospodarczej;</w:t>
      </w:r>
    </w:p>
    <w:p w:rsidR="00D245C3" w:rsidRPr="00D245C3" w:rsidRDefault="00D245C3" w:rsidP="00D245C3">
      <w:pPr>
        <w:pStyle w:val="Akapitzlist"/>
        <w:numPr>
          <w:ilvl w:val="0"/>
          <w:numId w:val="9"/>
        </w:numPr>
        <w:spacing w:after="0" w:line="360" w:lineRule="auto"/>
        <w:jc w:val="both"/>
        <w:rPr>
          <w:rFonts w:cs="Arial"/>
          <w:noProof/>
        </w:rPr>
      </w:pPr>
      <w:r>
        <w:t>spełnienie kryterium efektywności zatrudnieniowej jest monitorowane od początku realizacji projektu (narastająco);</w:t>
      </w:r>
    </w:p>
    <w:p w:rsidR="00D245C3" w:rsidRPr="00D245C3" w:rsidRDefault="00D245C3" w:rsidP="00D245C3">
      <w:pPr>
        <w:pStyle w:val="Akapitzlist"/>
        <w:numPr>
          <w:ilvl w:val="0"/>
          <w:numId w:val="9"/>
        </w:numPr>
        <w:spacing w:after="0" w:line="360" w:lineRule="auto"/>
        <w:jc w:val="both"/>
        <w:rPr>
          <w:rFonts w:cs="Arial"/>
          <w:noProof/>
        </w:rPr>
      </w:pPr>
      <w:r>
        <w:t>przez trzy miesiące należy rozumieć okres co najmniej 90 dni kalendarzowych</w:t>
      </w:r>
      <w:r>
        <w:rPr>
          <w:rStyle w:val="Odwoanieprzypisudolnego"/>
        </w:rPr>
        <w:footnoteReference w:id="2"/>
      </w:r>
    </w:p>
    <w:p w:rsidR="00D245C3" w:rsidRPr="00D245C3" w:rsidRDefault="00D245C3" w:rsidP="00D245C3">
      <w:pPr>
        <w:pStyle w:val="Akapitzlist"/>
        <w:numPr>
          <w:ilvl w:val="0"/>
          <w:numId w:val="9"/>
        </w:numPr>
        <w:spacing w:after="0" w:line="360" w:lineRule="auto"/>
        <w:jc w:val="both"/>
        <w:rPr>
          <w:rFonts w:cs="Arial"/>
          <w:noProof/>
        </w:rPr>
      </w:pPr>
      <w:r>
        <w:t>kryterium efektywności zatrudnieniowej w przypadku stosunku pracy należy uznać za spełnione jeżeli uczestnik projektu zostanie zatrudniony przynajmniej na ½ etatu;</w:t>
      </w:r>
    </w:p>
    <w:p w:rsidR="00D245C3" w:rsidRPr="00D245C3" w:rsidRDefault="00D245C3" w:rsidP="00D245C3">
      <w:pPr>
        <w:pStyle w:val="Akapitzlist"/>
        <w:numPr>
          <w:ilvl w:val="0"/>
          <w:numId w:val="9"/>
        </w:numPr>
        <w:spacing w:after="0" w:line="360" w:lineRule="auto"/>
        <w:jc w:val="both"/>
        <w:rPr>
          <w:rFonts w:cs="Arial"/>
          <w:noProof/>
        </w:rPr>
      </w:pPr>
      <w:r>
        <w:t>warunkiem uwzględnienia w liczbie osób pracujących uczestnika projektu, który rozpoczął prowadzenie działalności gospodarczej, jest dostarczenie dokumentu potwierdzającego fakt rozpoczęcia prowadzenia działalności gospodarczej (np. dowód opłacenia należnych składek na ubezpieczenia społeczne lub zaświadczenie wydane przez upoważniony organ – np. ZUS, Urząd Skarbowy, urząd miasta lub gminy). Dokumentem potwierdzającym fakt rozpoczęcia prowadzenia działalności gospodarczej może być również wyciąg z wpisu do CEIDG wydrukowany przez beneficjenta lub uczestnika projektu i</w:t>
      </w:r>
      <w:r w:rsidR="008E4990">
        <w:t xml:space="preserve"> dostarczony do beneficjenta, w </w:t>
      </w:r>
      <w:r>
        <w:t>którym określona została data rozpoczęcia działalności gospodarczej;</w:t>
      </w:r>
    </w:p>
    <w:p w:rsidR="00D245C3" w:rsidRPr="00D245C3" w:rsidRDefault="00D245C3" w:rsidP="00D245C3">
      <w:pPr>
        <w:pStyle w:val="Akapitzlist"/>
        <w:numPr>
          <w:ilvl w:val="0"/>
          <w:numId w:val="9"/>
        </w:numPr>
        <w:spacing w:after="0" w:line="360" w:lineRule="auto"/>
        <w:jc w:val="both"/>
        <w:rPr>
          <w:rFonts w:cs="Arial"/>
          <w:noProof/>
        </w:rPr>
      </w:pPr>
      <w:r>
        <w:t xml:space="preserve">w przypadku zaistnienia sytuacji opisanej w lit. b </w:t>
      </w:r>
      <w:proofErr w:type="spellStart"/>
      <w:r>
        <w:t>ppkt</w:t>
      </w:r>
      <w:proofErr w:type="spellEnd"/>
      <w:r>
        <w:t xml:space="preserve"> iii kryterium efektywności zatrudnieniowej należy uznać za spełnione, jeśli uczestnik będzie pracował w momencie zakończenia udziału w projekcie oraz pod warunkiem spełnienia pozostałych warunków określonych w niniejszym podrozdziale;</w:t>
      </w:r>
    </w:p>
    <w:p w:rsidR="00D245C3" w:rsidRPr="00D245C3" w:rsidRDefault="00D245C3" w:rsidP="00D245C3">
      <w:pPr>
        <w:pStyle w:val="Akapitzlist"/>
        <w:numPr>
          <w:ilvl w:val="0"/>
          <w:numId w:val="9"/>
        </w:numPr>
        <w:spacing w:after="0" w:line="360" w:lineRule="auto"/>
        <w:jc w:val="both"/>
        <w:rPr>
          <w:rFonts w:cs="Arial"/>
          <w:noProof/>
        </w:rPr>
      </w:pPr>
      <w:r>
        <w:t>IZ RPO zapewnia, że uczestnicy pro</w:t>
      </w:r>
      <w:r w:rsidR="008E4990">
        <w:t>jektów przedstawią informację o </w:t>
      </w:r>
      <w:r>
        <w:t>otrzymaniu zwrotnych lub bezzwrotnych środków na podję</w:t>
      </w:r>
      <w:r w:rsidR="008E4990">
        <w:t>cie działalności gospodarczej w </w:t>
      </w:r>
      <w:r>
        <w:t>innych projektach współfinansowanych z EFS;</w:t>
      </w:r>
    </w:p>
    <w:p w:rsidR="00D245C3" w:rsidRPr="00D245C3" w:rsidRDefault="00D245C3" w:rsidP="00D245C3">
      <w:pPr>
        <w:pStyle w:val="Akapitzlist"/>
        <w:numPr>
          <w:ilvl w:val="0"/>
          <w:numId w:val="9"/>
        </w:numPr>
        <w:spacing w:after="0" w:line="360" w:lineRule="auto"/>
        <w:jc w:val="both"/>
        <w:rPr>
          <w:rFonts w:cs="Arial"/>
          <w:noProof/>
        </w:rPr>
      </w:pPr>
      <w:r>
        <w:t>zatrudnienie subsydiowane jest uwzględniane w kryterium efektywności zatrudnieniowej wyłącznie w przypadku realizacji tej formy wsparcia poza projektami współfinansowanymi ze środków EFS. W liczbie pracujących nie uwzględnia się zatem osoby, która została zatrudniona (zatrudnienie subsydiowane) w ramach projektu współfinansowanego z EFS. Niemniej w kryterium efektywności zatrudnieniowej uwzględniane są osoby, które po zakończeniu okresu refundacji kosztów zatrudnienia współfinansowanych ze środków EFS zostały zatrudnione przynajmniej na ½ etatu lub podjęły własną działalność gospodarczą;</w:t>
      </w:r>
    </w:p>
    <w:p w:rsidR="00D245C3" w:rsidRPr="00D245C3" w:rsidRDefault="00D245C3" w:rsidP="00D245C3">
      <w:pPr>
        <w:pStyle w:val="Akapitzlist"/>
        <w:numPr>
          <w:ilvl w:val="0"/>
          <w:numId w:val="9"/>
        </w:numPr>
        <w:spacing w:after="0" w:line="360" w:lineRule="auto"/>
        <w:jc w:val="both"/>
        <w:rPr>
          <w:rFonts w:cs="Arial"/>
          <w:noProof/>
        </w:rPr>
      </w:pPr>
      <w:r>
        <w:t>w celu potwierdzenia podjęcia pracy wystarczające jest dostarczenie przez uczestnika projektu dokumentów potwierdzających nawiązanie stosunku pracy lub podjęcie działalności gospodarczej (np. kopia umowy o pracę, zaświadczenie z zakładu pracy o zatrudnieniu, zaświadczenie potwierdzające rozpoczęcie prowadzenia działalności gospodarczej, dowód opłacenia należnych składek na ubezpieczenia społeczne). Mając na uwadze powyższe, podmiot będący stroną umowy zapewnia, że na etapie rekrutacji do projektu beneficjent zobowiąże uczestników projektu do dostarczenia dokumentów potwierdzających podjęcie pracy do trzech miesięcy od wystąpienia sytuacji opisanych w lit. b, o ile uczestnik ten podejmie pracę;</w:t>
      </w:r>
    </w:p>
    <w:p w:rsidR="00D245C3" w:rsidRPr="00D245C3" w:rsidRDefault="00D245C3" w:rsidP="00D245C3">
      <w:pPr>
        <w:pStyle w:val="Akapitzlist"/>
        <w:numPr>
          <w:ilvl w:val="0"/>
          <w:numId w:val="9"/>
        </w:numPr>
        <w:spacing w:after="0" w:line="360" w:lineRule="auto"/>
        <w:jc w:val="both"/>
        <w:rPr>
          <w:rFonts w:cs="Arial"/>
          <w:noProof/>
        </w:rPr>
      </w:pPr>
      <w:proofErr w:type="spellStart"/>
      <w:r>
        <w:t>PUP-y</w:t>
      </w:r>
      <w:proofErr w:type="spellEnd"/>
      <w:r>
        <w:t xml:space="preserve">, </w:t>
      </w:r>
      <w:proofErr w:type="spellStart"/>
      <w:r>
        <w:t>MRPiPS</w:t>
      </w:r>
      <w:proofErr w:type="spellEnd"/>
      <w:r>
        <w:t xml:space="preserve">, KG OHP mogą wykorzystywać dane dostępne w systemie ZUS na potrzeby monitorowania kryterium efektywności zatrudnieniowej, pod warunkiem: </w:t>
      </w:r>
    </w:p>
    <w:p w:rsidR="00D245C3" w:rsidRDefault="00D245C3" w:rsidP="00D245C3">
      <w:pPr>
        <w:pStyle w:val="Akapitzlist"/>
        <w:numPr>
          <w:ilvl w:val="0"/>
          <w:numId w:val="12"/>
        </w:numPr>
        <w:spacing w:after="0" w:line="360" w:lineRule="auto"/>
        <w:jc w:val="both"/>
      </w:pPr>
      <w:r>
        <w:t xml:space="preserve">posiadania wydruku z systemu z pełnym zakresem danych niezbędnych do weryfikacji kryterium efektywności zatrudnieniowej oraz </w:t>
      </w:r>
    </w:p>
    <w:p w:rsidR="00D245C3" w:rsidRPr="00D245C3" w:rsidRDefault="00D245C3" w:rsidP="00D245C3">
      <w:pPr>
        <w:pStyle w:val="Akapitzlist"/>
        <w:numPr>
          <w:ilvl w:val="0"/>
          <w:numId w:val="12"/>
        </w:numPr>
        <w:spacing w:after="0" w:line="360" w:lineRule="auto"/>
        <w:jc w:val="both"/>
        <w:rPr>
          <w:rFonts w:cs="Arial"/>
          <w:noProof/>
        </w:rPr>
      </w:pPr>
      <w:r>
        <w:t>możliwości weryfikacji spełnienia wszystkich warunków dotyczących podjęcia pracy wskazanych w Wytycznych;</w:t>
      </w:r>
    </w:p>
    <w:p w:rsidR="00D245C3" w:rsidRPr="00D245C3" w:rsidRDefault="00D245C3" w:rsidP="00D245C3">
      <w:pPr>
        <w:pStyle w:val="Akapitzlist"/>
        <w:numPr>
          <w:ilvl w:val="0"/>
          <w:numId w:val="9"/>
        </w:numPr>
        <w:spacing w:after="0" w:line="360" w:lineRule="auto"/>
        <w:jc w:val="both"/>
        <w:rPr>
          <w:rFonts w:cs="Arial"/>
          <w:noProof/>
        </w:rPr>
      </w:pPr>
      <w:r>
        <w:t>kryterium efektywności zatrudnieniowej jest mierzon</w:t>
      </w:r>
      <w:r w:rsidR="008E4990">
        <w:t>e w odniesieniu do wskazanych w </w:t>
      </w:r>
      <w:r>
        <w:t>kryterium grup docelowych</w:t>
      </w:r>
      <w:r w:rsidR="00BA3F89">
        <w:t>.</w:t>
      </w:r>
    </w:p>
    <w:p w:rsidR="004D371B" w:rsidRDefault="004D371B" w:rsidP="00D245C3">
      <w:pPr>
        <w:spacing w:after="0" w:line="360" w:lineRule="auto"/>
        <w:rPr>
          <w:noProof/>
        </w:rPr>
      </w:pPr>
    </w:p>
    <w:p w:rsidR="00B22931" w:rsidRDefault="00B22931" w:rsidP="00B22931">
      <w:pPr>
        <w:pStyle w:val="Akapitzlist"/>
        <w:spacing w:after="0" w:line="360" w:lineRule="auto"/>
        <w:ind w:left="1110"/>
      </w:pPr>
    </w:p>
    <w:p w:rsidR="00BF698A" w:rsidRDefault="00BF698A" w:rsidP="00B22931">
      <w:pPr>
        <w:pStyle w:val="Akapitzlist"/>
        <w:spacing w:after="0" w:line="360" w:lineRule="auto"/>
        <w:ind w:left="1110"/>
      </w:pPr>
    </w:p>
    <w:p w:rsidR="00BF698A" w:rsidRDefault="00BF698A" w:rsidP="00B22931">
      <w:pPr>
        <w:pStyle w:val="Akapitzlist"/>
        <w:spacing w:after="0" w:line="360" w:lineRule="auto"/>
        <w:ind w:left="1110"/>
      </w:pPr>
    </w:p>
    <w:p w:rsidR="00BF698A" w:rsidRDefault="00BF698A" w:rsidP="00B22931">
      <w:pPr>
        <w:pStyle w:val="Akapitzlist"/>
        <w:spacing w:after="0" w:line="360" w:lineRule="auto"/>
        <w:ind w:left="1110"/>
      </w:pPr>
    </w:p>
    <w:p w:rsidR="00BF698A" w:rsidRDefault="00BF698A" w:rsidP="00B22931">
      <w:pPr>
        <w:pStyle w:val="Akapitzlist"/>
        <w:spacing w:after="0" w:line="360" w:lineRule="auto"/>
        <w:ind w:left="1110"/>
      </w:pPr>
    </w:p>
    <w:p w:rsidR="00BF698A" w:rsidRDefault="00BF698A" w:rsidP="00B22931">
      <w:pPr>
        <w:pStyle w:val="Akapitzlist"/>
        <w:spacing w:after="0" w:line="360" w:lineRule="auto"/>
        <w:ind w:left="1110"/>
      </w:pPr>
    </w:p>
    <w:p w:rsidR="00BF698A" w:rsidRDefault="00BF698A" w:rsidP="00B22931">
      <w:pPr>
        <w:pStyle w:val="Akapitzlist"/>
        <w:spacing w:after="0" w:line="360" w:lineRule="auto"/>
        <w:ind w:left="1110"/>
      </w:pPr>
    </w:p>
    <w:p w:rsidR="00BF698A" w:rsidRPr="004D371B" w:rsidRDefault="00BF698A" w:rsidP="00BF698A">
      <w:pPr>
        <w:spacing w:after="0" w:line="360" w:lineRule="auto"/>
      </w:pPr>
    </w:p>
    <w:sectPr w:rsidR="00BF698A" w:rsidRPr="004D371B" w:rsidSect="004D371B">
      <w:headerReference w:type="default" r:id="rId8"/>
      <w:footerReference w:type="default" r:id="rId9"/>
      <w:pgSz w:w="11906" w:h="16838"/>
      <w:pgMar w:top="1985" w:right="1418" w:bottom="1985" w:left="1418" w:header="0" w:footer="13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9D0" w:rsidRDefault="00C909D0" w:rsidP="00446A04">
      <w:pPr>
        <w:spacing w:after="0" w:line="240" w:lineRule="auto"/>
      </w:pPr>
      <w:r>
        <w:separator/>
      </w:r>
    </w:p>
  </w:endnote>
  <w:endnote w:type="continuationSeparator" w:id="0">
    <w:p w:rsidR="00C909D0" w:rsidRDefault="00C909D0" w:rsidP="00446A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51645"/>
      <w:docPartObj>
        <w:docPartGallery w:val="Page Numbers (Bottom of Page)"/>
        <w:docPartUnique/>
      </w:docPartObj>
    </w:sdtPr>
    <w:sdtContent>
      <w:p w:rsidR="003447DF" w:rsidRDefault="00A14E89">
        <w:pPr>
          <w:pStyle w:val="Stopka"/>
          <w:jc w:val="center"/>
        </w:pPr>
        <w:fldSimple w:instr=" PAGE   \* MERGEFORMAT ">
          <w:r w:rsidR="00FF08A4">
            <w:rPr>
              <w:noProof/>
            </w:rPr>
            <w:t>1</w:t>
          </w:r>
        </w:fldSimple>
      </w:p>
      <w:p w:rsidR="003447DF" w:rsidRDefault="003447DF">
        <w:pPr>
          <w:pStyle w:val="Stopka"/>
          <w:jc w:val="center"/>
        </w:pPr>
      </w:p>
      <w:p w:rsidR="003447DF" w:rsidRDefault="003447DF">
        <w:pPr>
          <w:pStyle w:val="Stopka"/>
          <w:jc w:val="center"/>
        </w:pPr>
        <w:r w:rsidRPr="003447DF">
          <w:rPr>
            <w:noProof/>
            <w:lang w:eastAsia="pl-PL"/>
          </w:rPr>
          <w:drawing>
            <wp:inline distT="0" distB="0" distL="0" distR="0">
              <wp:extent cx="5759450" cy="1266191"/>
              <wp:effectExtent l="19050" t="0" r="0" b="0"/>
              <wp:docPr id="1" name="Obraz 1" descr="nowy listownik Rozwoj regionalny2sz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wy listownik Rozwoj regionalny2szary.png"/>
                      <pic:cNvPicPr/>
                    </pic:nvPicPr>
                    <pic:blipFill>
                      <a:blip r:embed="rId1"/>
                      <a:stretch>
                        <a:fillRect/>
                      </a:stretch>
                    </pic:blipFill>
                    <pic:spPr>
                      <a:xfrm>
                        <a:off x="0" y="0"/>
                        <a:ext cx="5759450" cy="1266191"/>
                      </a:xfrm>
                      <a:prstGeom prst="rect">
                        <a:avLst/>
                      </a:prstGeom>
                    </pic:spPr>
                  </pic:pic>
                </a:graphicData>
              </a:graphic>
            </wp:inline>
          </w:drawing>
        </w:r>
      </w:p>
    </w:sdtContent>
  </w:sdt>
  <w:p w:rsidR="00B95A8D" w:rsidRPr="00340F4C" w:rsidRDefault="00B95A8D" w:rsidP="00340F4C">
    <w:pPr>
      <w:pStyle w:val="Stopka"/>
      <w:ind w:left="-284"/>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9D0" w:rsidRDefault="00C909D0" w:rsidP="00446A04">
      <w:pPr>
        <w:spacing w:after="0" w:line="240" w:lineRule="auto"/>
      </w:pPr>
      <w:r>
        <w:separator/>
      </w:r>
    </w:p>
  </w:footnote>
  <w:footnote w:type="continuationSeparator" w:id="0">
    <w:p w:rsidR="00C909D0" w:rsidRDefault="00C909D0" w:rsidP="00446A04">
      <w:pPr>
        <w:spacing w:after="0" w:line="240" w:lineRule="auto"/>
      </w:pPr>
      <w:r>
        <w:continuationSeparator/>
      </w:r>
    </w:p>
  </w:footnote>
  <w:footnote w:id="1">
    <w:p w:rsidR="0075701A" w:rsidRDefault="0075701A" w:rsidP="0075701A">
      <w:pPr>
        <w:pStyle w:val="Tekstprzypisudolnego"/>
        <w:jc w:val="both"/>
      </w:pPr>
      <w:r>
        <w:rPr>
          <w:rStyle w:val="Odwoanieprzypisudolnego"/>
        </w:rPr>
        <w:footnoteRef/>
      </w:r>
      <w:r>
        <w:t xml:space="preserve"> Sytuacja, gdy osoba podejmie pracę, jednak kontynuuje udział w projekcie, dotyczyć może np. dokończenia udziału w szkoleniu finansowanym w ramach projektu.</w:t>
      </w:r>
    </w:p>
  </w:footnote>
  <w:footnote w:id="2">
    <w:p w:rsidR="00D245C3" w:rsidRDefault="00D245C3" w:rsidP="00D245C3">
      <w:pPr>
        <w:pStyle w:val="Tekstprzypisudolnego"/>
        <w:jc w:val="both"/>
      </w:pPr>
      <w:r>
        <w:rPr>
          <w:rStyle w:val="Odwoanieprzypisudolnego"/>
        </w:rPr>
        <w:footnoteRef/>
      </w:r>
      <w:r>
        <w:t xml:space="preserve"> Za wyjątkiem sytuacji gdy pomiar jest dokonywany w okresie luty-kwiecień w roku nieprzestępnym. Wówczas za 3 miesiące kalendarzowe należy rozumieć okres co najmniej 89 dni kalendarzowych.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A04" w:rsidRDefault="004D371B" w:rsidP="00915A68">
    <w:pPr>
      <w:pStyle w:val="Nagwek"/>
      <w:tabs>
        <w:tab w:val="left" w:pos="142"/>
      </w:tabs>
      <w:ind w:left="-284"/>
    </w:pPr>
    <w:r>
      <w:rPr>
        <w:noProof/>
        <w:lang w:eastAsia="pl-PL"/>
      </w:rPr>
      <w:drawing>
        <wp:inline distT="0" distB="0" distL="0" distR="0">
          <wp:extent cx="6076950" cy="1528952"/>
          <wp:effectExtent l="19050" t="0" r="0" b="0"/>
          <wp:docPr id="4" name="Obraz 3" descr="efsi z hasłem achro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si z hasłem achromat.jpg"/>
                  <pic:cNvPicPr/>
                </pic:nvPicPr>
                <pic:blipFill>
                  <a:blip r:embed="rId1"/>
                  <a:stretch>
                    <a:fillRect/>
                  </a:stretch>
                </pic:blipFill>
                <pic:spPr>
                  <a:xfrm>
                    <a:off x="0" y="0"/>
                    <a:ext cx="6082280" cy="153029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E46"/>
    <w:multiLevelType w:val="hybridMultilevel"/>
    <w:tmpl w:val="DC46ECD6"/>
    <w:lvl w:ilvl="0" w:tplc="F192F544">
      <w:start w:val="1"/>
      <w:numFmt w:val="low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85C5B48"/>
    <w:multiLevelType w:val="hybridMultilevel"/>
    <w:tmpl w:val="05107F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EEC1F84"/>
    <w:multiLevelType w:val="hybridMultilevel"/>
    <w:tmpl w:val="56C2B37A"/>
    <w:lvl w:ilvl="0" w:tplc="D4ECE6CC">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11DB3F6E"/>
    <w:multiLevelType w:val="hybridMultilevel"/>
    <w:tmpl w:val="585C1F5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14013193"/>
    <w:multiLevelType w:val="hybridMultilevel"/>
    <w:tmpl w:val="E24045FA"/>
    <w:lvl w:ilvl="0" w:tplc="801656A2">
      <w:start w:val="1"/>
      <w:numFmt w:val="low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22183C97"/>
    <w:multiLevelType w:val="hybridMultilevel"/>
    <w:tmpl w:val="3F4224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DC113B6"/>
    <w:multiLevelType w:val="hybridMultilevel"/>
    <w:tmpl w:val="09E4B236"/>
    <w:lvl w:ilvl="0" w:tplc="6890BCE4">
      <w:start w:val="1"/>
      <w:numFmt w:val="lowerRoman"/>
      <w:lvlText w:val="%1."/>
      <w:lvlJc w:val="left"/>
      <w:pPr>
        <w:ind w:left="1429" w:hanging="7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nsid w:val="33D5374B"/>
    <w:multiLevelType w:val="hybridMultilevel"/>
    <w:tmpl w:val="EC74CFC6"/>
    <w:lvl w:ilvl="0" w:tplc="66EE196E">
      <w:start w:val="1"/>
      <w:numFmt w:val="lowerRoman"/>
      <w:lvlText w:val="%1."/>
      <w:lvlJc w:val="left"/>
      <w:pPr>
        <w:ind w:left="1080" w:hanging="72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8623C9A"/>
    <w:multiLevelType w:val="hybridMultilevel"/>
    <w:tmpl w:val="5AE69ACA"/>
    <w:lvl w:ilvl="0" w:tplc="0415001B">
      <w:start w:val="1"/>
      <w:numFmt w:val="lowerRoman"/>
      <w:lvlText w:val="%1."/>
      <w:lvlJc w:val="right"/>
      <w:pPr>
        <w:ind w:left="1778" w:hanging="360"/>
      </w:pPr>
      <w:rPr>
        <w:rFonts w:cs="Times New Roman" w:hint="default"/>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9">
    <w:nsid w:val="455C0C9E"/>
    <w:multiLevelType w:val="hybridMultilevel"/>
    <w:tmpl w:val="3EC8096A"/>
    <w:lvl w:ilvl="0" w:tplc="E24E69E0">
      <w:start w:val="3"/>
      <w:numFmt w:val="decimal"/>
      <w:lvlText w:val="%1."/>
      <w:lvlJc w:val="left"/>
      <w:pPr>
        <w:ind w:left="360" w:hanging="360"/>
      </w:pPr>
      <w:rPr>
        <w:rFonts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49D64FE0"/>
    <w:multiLevelType w:val="hybridMultilevel"/>
    <w:tmpl w:val="44F041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E0C67B9"/>
    <w:multiLevelType w:val="hybridMultilevel"/>
    <w:tmpl w:val="6B3438BA"/>
    <w:lvl w:ilvl="0" w:tplc="E4C2A83A">
      <w:start w:val="1"/>
      <w:numFmt w:val="low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53FA5B79"/>
    <w:multiLevelType w:val="hybridMultilevel"/>
    <w:tmpl w:val="12AA7C02"/>
    <w:lvl w:ilvl="0" w:tplc="5BC645B0">
      <w:start w:val="1"/>
      <w:numFmt w:val="bullet"/>
      <w:lvlText w:val="-"/>
      <w:lvlJc w:val="left"/>
      <w:pPr>
        <w:ind w:left="786" w:hanging="360"/>
      </w:pPr>
      <w:rPr>
        <w:rFonts w:ascii="Calibri" w:hAnsi="Calibr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3">
    <w:nsid w:val="5FD06ED5"/>
    <w:multiLevelType w:val="hybridMultilevel"/>
    <w:tmpl w:val="445E30A6"/>
    <w:lvl w:ilvl="0" w:tplc="0415001B">
      <w:start w:val="1"/>
      <w:numFmt w:val="low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6813640B"/>
    <w:multiLevelType w:val="hybridMultilevel"/>
    <w:tmpl w:val="51A6C8CC"/>
    <w:lvl w:ilvl="0" w:tplc="69C4E268">
      <w:start w:val="1"/>
      <w:numFmt w:val="low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6CD14E16"/>
    <w:multiLevelType w:val="hybridMultilevel"/>
    <w:tmpl w:val="A9E075E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6EF87726"/>
    <w:multiLevelType w:val="hybridMultilevel"/>
    <w:tmpl w:val="93281000"/>
    <w:lvl w:ilvl="0" w:tplc="0415001B">
      <w:start w:val="1"/>
      <w:numFmt w:val="lowerRoman"/>
      <w:lvlText w:val="%1."/>
      <w:lvlJc w:val="right"/>
      <w:pPr>
        <w:ind w:left="1778" w:hanging="360"/>
      </w:pPr>
      <w:rPr>
        <w:rFonts w:cs="Times New Roman" w:hint="default"/>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17">
    <w:nsid w:val="75C440AC"/>
    <w:multiLevelType w:val="hybridMultilevel"/>
    <w:tmpl w:val="15D029AC"/>
    <w:lvl w:ilvl="0" w:tplc="85A45E74">
      <w:start w:val="1"/>
      <w:numFmt w:val="lowerRoman"/>
      <w:lvlText w:val="%1."/>
      <w:lvlJc w:val="left"/>
      <w:pPr>
        <w:ind w:left="1110" w:hanging="72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18">
    <w:nsid w:val="774E454D"/>
    <w:multiLevelType w:val="hybridMultilevel"/>
    <w:tmpl w:val="667C3592"/>
    <w:lvl w:ilvl="0" w:tplc="D5629AF0">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18"/>
  </w:num>
  <w:num w:numId="2">
    <w:abstractNumId w:val="2"/>
  </w:num>
  <w:num w:numId="3">
    <w:abstractNumId w:val="16"/>
  </w:num>
  <w:num w:numId="4">
    <w:abstractNumId w:val="8"/>
  </w:num>
  <w:num w:numId="5">
    <w:abstractNumId w:val="13"/>
  </w:num>
  <w:num w:numId="6">
    <w:abstractNumId w:val="12"/>
  </w:num>
  <w:num w:numId="7">
    <w:abstractNumId w:val="11"/>
  </w:num>
  <w:num w:numId="8">
    <w:abstractNumId w:val="6"/>
  </w:num>
  <w:num w:numId="9">
    <w:abstractNumId w:val="10"/>
  </w:num>
  <w:num w:numId="10">
    <w:abstractNumId w:val="0"/>
  </w:num>
  <w:num w:numId="11">
    <w:abstractNumId w:val="7"/>
  </w:num>
  <w:num w:numId="12">
    <w:abstractNumId w:val="4"/>
  </w:num>
  <w:num w:numId="13">
    <w:abstractNumId w:val="9"/>
  </w:num>
  <w:num w:numId="14">
    <w:abstractNumId w:val="1"/>
  </w:num>
  <w:num w:numId="15">
    <w:abstractNumId w:val="14"/>
  </w:num>
  <w:num w:numId="16">
    <w:abstractNumId w:val="17"/>
  </w:num>
  <w:num w:numId="17">
    <w:abstractNumId w:val="5"/>
  </w:num>
  <w:num w:numId="18">
    <w:abstractNumId w:val="3"/>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2050">
      <o:colormenu v:ext="edit" strokecolor="#ffc000"/>
    </o:shapedefaults>
  </w:hdrShapeDefaults>
  <w:footnotePr>
    <w:footnote w:id="-1"/>
    <w:footnote w:id="0"/>
  </w:footnotePr>
  <w:endnotePr>
    <w:endnote w:id="-1"/>
    <w:endnote w:id="0"/>
  </w:endnotePr>
  <w:compat/>
  <w:rsids>
    <w:rsidRoot w:val="00446A04"/>
    <w:rsid w:val="00017D41"/>
    <w:rsid w:val="00036E2A"/>
    <w:rsid w:val="0005076A"/>
    <w:rsid w:val="00056A24"/>
    <w:rsid w:val="0006340E"/>
    <w:rsid w:val="00077B0D"/>
    <w:rsid w:val="000A0A0F"/>
    <w:rsid w:val="000C6969"/>
    <w:rsid w:val="000C7F6D"/>
    <w:rsid w:val="000F4E96"/>
    <w:rsid w:val="000F78C1"/>
    <w:rsid w:val="00115C9F"/>
    <w:rsid w:val="001359DC"/>
    <w:rsid w:val="00141A42"/>
    <w:rsid w:val="001504B7"/>
    <w:rsid w:val="0017496C"/>
    <w:rsid w:val="001916B9"/>
    <w:rsid w:val="002015CB"/>
    <w:rsid w:val="00214B2A"/>
    <w:rsid w:val="0024354E"/>
    <w:rsid w:val="0024484D"/>
    <w:rsid w:val="0024523C"/>
    <w:rsid w:val="00246030"/>
    <w:rsid w:val="00257147"/>
    <w:rsid w:val="0026120E"/>
    <w:rsid w:val="00287CC3"/>
    <w:rsid w:val="002C3E89"/>
    <w:rsid w:val="002E1721"/>
    <w:rsid w:val="002E4426"/>
    <w:rsid w:val="003152A8"/>
    <w:rsid w:val="003167E2"/>
    <w:rsid w:val="00340F4C"/>
    <w:rsid w:val="003447DF"/>
    <w:rsid w:val="00357A3E"/>
    <w:rsid w:val="00365611"/>
    <w:rsid w:val="00392974"/>
    <w:rsid w:val="00395E2E"/>
    <w:rsid w:val="003A6239"/>
    <w:rsid w:val="003E10D4"/>
    <w:rsid w:val="003F3B8A"/>
    <w:rsid w:val="004353C5"/>
    <w:rsid w:val="00446A04"/>
    <w:rsid w:val="00462EBD"/>
    <w:rsid w:val="00464F9C"/>
    <w:rsid w:val="0046584B"/>
    <w:rsid w:val="00490D6E"/>
    <w:rsid w:val="004D371B"/>
    <w:rsid w:val="004E730D"/>
    <w:rsid w:val="004F50BB"/>
    <w:rsid w:val="00505841"/>
    <w:rsid w:val="0053241A"/>
    <w:rsid w:val="00544624"/>
    <w:rsid w:val="00565937"/>
    <w:rsid w:val="00595933"/>
    <w:rsid w:val="005C7A43"/>
    <w:rsid w:val="00650169"/>
    <w:rsid w:val="00684C36"/>
    <w:rsid w:val="006859C1"/>
    <w:rsid w:val="006B3BD8"/>
    <w:rsid w:val="006E0501"/>
    <w:rsid w:val="00722186"/>
    <w:rsid w:val="007463AF"/>
    <w:rsid w:val="0075701A"/>
    <w:rsid w:val="007F7FC5"/>
    <w:rsid w:val="00823907"/>
    <w:rsid w:val="00825334"/>
    <w:rsid w:val="00862C4B"/>
    <w:rsid w:val="008646F5"/>
    <w:rsid w:val="00873BF7"/>
    <w:rsid w:val="0087563C"/>
    <w:rsid w:val="008954C2"/>
    <w:rsid w:val="008C68CC"/>
    <w:rsid w:val="008E4990"/>
    <w:rsid w:val="008F55DE"/>
    <w:rsid w:val="00915A68"/>
    <w:rsid w:val="0097399C"/>
    <w:rsid w:val="009A197F"/>
    <w:rsid w:val="009A4988"/>
    <w:rsid w:val="009C182C"/>
    <w:rsid w:val="009C5F21"/>
    <w:rsid w:val="009E26FA"/>
    <w:rsid w:val="009E37AE"/>
    <w:rsid w:val="009E499A"/>
    <w:rsid w:val="009F34B9"/>
    <w:rsid w:val="00A00CE2"/>
    <w:rsid w:val="00A140EF"/>
    <w:rsid w:val="00A14E89"/>
    <w:rsid w:val="00A160E0"/>
    <w:rsid w:val="00A1649A"/>
    <w:rsid w:val="00A32657"/>
    <w:rsid w:val="00A852DF"/>
    <w:rsid w:val="00AC6933"/>
    <w:rsid w:val="00AF6C0E"/>
    <w:rsid w:val="00B03491"/>
    <w:rsid w:val="00B22931"/>
    <w:rsid w:val="00B2482A"/>
    <w:rsid w:val="00B71C94"/>
    <w:rsid w:val="00B87B63"/>
    <w:rsid w:val="00B95A8D"/>
    <w:rsid w:val="00BA3F89"/>
    <w:rsid w:val="00BE7EA6"/>
    <w:rsid w:val="00BF698A"/>
    <w:rsid w:val="00BF7CC4"/>
    <w:rsid w:val="00C02130"/>
    <w:rsid w:val="00C042D6"/>
    <w:rsid w:val="00C158E3"/>
    <w:rsid w:val="00C909D0"/>
    <w:rsid w:val="00CA26B2"/>
    <w:rsid w:val="00CD702A"/>
    <w:rsid w:val="00CF1EEC"/>
    <w:rsid w:val="00CF3951"/>
    <w:rsid w:val="00CF6304"/>
    <w:rsid w:val="00D2196C"/>
    <w:rsid w:val="00D245C3"/>
    <w:rsid w:val="00D25216"/>
    <w:rsid w:val="00D36353"/>
    <w:rsid w:val="00D7324D"/>
    <w:rsid w:val="00D77222"/>
    <w:rsid w:val="00D80BD2"/>
    <w:rsid w:val="00D850AC"/>
    <w:rsid w:val="00DF04C7"/>
    <w:rsid w:val="00E20688"/>
    <w:rsid w:val="00E41632"/>
    <w:rsid w:val="00E6588A"/>
    <w:rsid w:val="00EB6F42"/>
    <w:rsid w:val="00F05291"/>
    <w:rsid w:val="00F1276A"/>
    <w:rsid w:val="00F42CC5"/>
    <w:rsid w:val="00F50ED5"/>
    <w:rsid w:val="00FD575C"/>
    <w:rsid w:val="00FD58AE"/>
    <w:rsid w:val="00FF08A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ffc0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324D"/>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46A0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46A04"/>
  </w:style>
  <w:style w:type="paragraph" w:styleId="Stopka">
    <w:name w:val="footer"/>
    <w:basedOn w:val="Normalny"/>
    <w:link w:val="StopkaZnak"/>
    <w:uiPriority w:val="99"/>
    <w:unhideWhenUsed/>
    <w:rsid w:val="00446A0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6A04"/>
  </w:style>
  <w:style w:type="paragraph" w:styleId="Tekstdymka">
    <w:name w:val="Balloon Text"/>
    <w:basedOn w:val="Normalny"/>
    <w:link w:val="TekstdymkaZnak"/>
    <w:uiPriority w:val="99"/>
    <w:semiHidden/>
    <w:unhideWhenUsed/>
    <w:rsid w:val="00446A0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46A04"/>
    <w:rPr>
      <w:rFonts w:ascii="Tahoma" w:hAnsi="Tahoma" w:cs="Tahoma"/>
      <w:sz w:val="16"/>
      <w:szCs w:val="16"/>
    </w:rPr>
  </w:style>
  <w:style w:type="paragraph" w:customStyle="1" w:styleId="ZnakZnakZnakZnakZnakZnakZnak">
    <w:name w:val="Znak Znak Znak Znak Znak Znak Znak"/>
    <w:basedOn w:val="Normalny"/>
    <w:rsid w:val="00505841"/>
    <w:pPr>
      <w:spacing w:after="0" w:line="240" w:lineRule="auto"/>
    </w:pPr>
    <w:rPr>
      <w:rFonts w:ascii="Times New Roman" w:eastAsia="Times New Roman" w:hAnsi="Times New Roman"/>
      <w:sz w:val="24"/>
      <w:szCs w:val="24"/>
      <w:lang w:eastAsia="pl-PL"/>
    </w:rPr>
  </w:style>
  <w:style w:type="paragraph" w:styleId="Tekstprzypisudolnego">
    <w:name w:val="footnote text"/>
    <w:aliases w:val="Footnote,Podrozdział,Podrozdzia3"/>
    <w:basedOn w:val="Normalny"/>
    <w:link w:val="TekstprzypisudolnegoZnak"/>
    <w:uiPriority w:val="99"/>
    <w:rsid w:val="00A00CE2"/>
    <w:pPr>
      <w:spacing w:after="0" w:line="240" w:lineRule="auto"/>
    </w:pPr>
    <w:rPr>
      <w:sz w:val="20"/>
      <w:szCs w:val="20"/>
    </w:rPr>
  </w:style>
  <w:style w:type="character" w:customStyle="1" w:styleId="TekstprzypisudolnegoZnak">
    <w:name w:val="Tekst przypisu dolnego Znak"/>
    <w:aliases w:val="Footnote Znak,Podrozdział Znak,Podrozdzia3 Znak"/>
    <w:basedOn w:val="Domylnaczcionkaakapitu"/>
    <w:link w:val="Tekstprzypisudolnego"/>
    <w:uiPriority w:val="99"/>
    <w:rsid w:val="00A00CE2"/>
    <w:rPr>
      <w:lang w:eastAsia="en-US"/>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rsid w:val="00A00CE2"/>
    <w:rPr>
      <w:rFonts w:cs="Times New Roman"/>
      <w:vertAlign w:val="superscript"/>
    </w:rPr>
  </w:style>
  <w:style w:type="paragraph" w:styleId="Akapitzlist">
    <w:name w:val="List Paragraph"/>
    <w:aliases w:val="Numerowanie,List Paragraph,Akapit z listą BS"/>
    <w:basedOn w:val="Normalny"/>
    <w:link w:val="AkapitzlistZnak"/>
    <w:uiPriority w:val="34"/>
    <w:qFormat/>
    <w:rsid w:val="00A00CE2"/>
    <w:pPr>
      <w:spacing w:after="160" w:line="259" w:lineRule="auto"/>
      <w:ind w:left="720"/>
      <w:contextualSpacing/>
    </w:pPr>
  </w:style>
  <w:style w:type="paragraph" w:customStyle="1" w:styleId="Default">
    <w:name w:val="Default"/>
    <w:basedOn w:val="Normalny"/>
    <w:link w:val="DefaultZnak"/>
    <w:qFormat/>
    <w:rsid w:val="00E41632"/>
    <w:pPr>
      <w:autoSpaceDE w:val="0"/>
      <w:autoSpaceDN w:val="0"/>
      <w:spacing w:after="0" w:line="240" w:lineRule="auto"/>
    </w:pPr>
    <w:rPr>
      <w:rFonts w:ascii="Times New Roman" w:eastAsia="Times New Roman" w:hAnsi="Times New Roman"/>
      <w:color w:val="000000"/>
      <w:sz w:val="24"/>
      <w:szCs w:val="24"/>
    </w:rPr>
  </w:style>
  <w:style w:type="character" w:customStyle="1" w:styleId="AkapitzlistZnak">
    <w:name w:val="Akapit z listą Znak"/>
    <w:aliases w:val="Numerowanie Znak,List Paragraph Znak,Akapit z listą BS Znak"/>
    <w:link w:val="Akapitzlist"/>
    <w:uiPriority w:val="34"/>
    <w:qFormat/>
    <w:locked/>
    <w:rsid w:val="00E41632"/>
    <w:rPr>
      <w:sz w:val="22"/>
      <w:szCs w:val="22"/>
      <w:lang w:eastAsia="en-US"/>
    </w:rPr>
  </w:style>
  <w:style w:type="character" w:customStyle="1" w:styleId="DefaultZnak">
    <w:name w:val="Default Znak"/>
    <w:link w:val="Default"/>
    <w:rsid w:val="00E41632"/>
    <w:rPr>
      <w:rFonts w:ascii="Times New Roman" w:eastAsia="Times New Roman" w:hAnsi="Times New Roman"/>
      <w:color w:val="000000"/>
      <w:sz w:val="24"/>
      <w:szCs w:val="24"/>
    </w:rPr>
  </w:style>
  <w:style w:type="character" w:styleId="Odwoaniedokomentarza">
    <w:name w:val="annotation reference"/>
    <w:basedOn w:val="Domylnaczcionkaakapitu"/>
    <w:uiPriority w:val="99"/>
    <w:semiHidden/>
    <w:unhideWhenUsed/>
    <w:rsid w:val="00BA3F89"/>
    <w:rPr>
      <w:sz w:val="16"/>
      <w:szCs w:val="16"/>
    </w:rPr>
  </w:style>
  <w:style w:type="paragraph" w:styleId="Tekstkomentarza">
    <w:name w:val="annotation text"/>
    <w:basedOn w:val="Normalny"/>
    <w:link w:val="TekstkomentarzaZnak"/>
    <w:uiPriority w:val="99"/>
    <w:semiHidden/>
    <w:unhideWhenUsed/>
    <w:rsid w:val="00BA3F8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A3F89"/>
    <w:rPr>
      <w:lang w:eastAsia="en-US"/>
    </w:rPr>
  </w:style>
  <w:style w:type="paragraph" w:styleId="Tematkomentarza">
    <w:name w:val="annotation subject"/>
    <w:basedOn w:val="Tekstkomentarza"/>
    <w:next w:val="Tekstkomentarza"/>
    <w:link w:val="TematkomentarzaZnak"/>
    <w:uiPriority w:val="99"/>
    <w:semiHidden/>
    <w:unhideWhenUsed/>
    <w:rsid w:val="00BA3F89"/>
    <w:rPr>
      <w:b/>
      <w:bCs/>
    </w:rPr>
  </w:style>
  <w:style w:type="character" w:customStyle="1" w:styleId="TematkomentarzaZnak">
    <w:name w:val="Temat komentarza Znak"/>
    <w:basedOn w:val="TekstkomentarzaZnak"/>
    <w:link w:val="Tematkomentarza"/>
    <w:uiPriority w:val="99"/>
    <w:semiHidden/>
    <w:rsid w:val="00BA3F8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9D8913-70EB-4FBA-BBF7-91D42A687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1065</Words>
  <Characters>6393</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j.araszewicz</dc:creator>
  <cp:lastModifiedBy>beatawierzbicka</cp:lastModifiedBy>
  <cp:revision>3</cp:revision>
  <cp:lastPrinted>2014-05-06T08:47:00Z</cp:lastPrinted>
  <dcterms:created xsi:type="dcterms:W3CDTF">2018-04-18T05:26:00Z</dcterms:created>
  <dcterms:modified xsi:type="dcterms:W3CDTF">2018-04-18T06:32:00Z</dcterms:modified>
</cp:coreProperties>
</file>